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A1D0" w14:textId="77777777" w:rsidR="00D276AE" w:rsidRDefault="00D276AE" w:rsidP="00D276AE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Calibri"/>
          <w:b/>
          <w:bCs/>
          <w:color w:val="C00000"/>
          <w:kern w:val="36"/>
          <w:sz w:val="144"/>
          <w:szCs w:val="144"/>
        </w:rPr>
      </w:pPr>
      <w:r w:rsidRPr="00BA59DD">
        <w:rPr>
          <w:rFonts w:ascii="Cambria" w:eastAsia="Times New Roman" w:hAnsi="Cambria" w:cs="Cambria"/>
          <w:b/>
          <w:bCs/>
          <w:color w:val="C00000"/>
          <w:kern w:val="36"/>
          <w:sz w:val="144"/>
          <w:szCs w:val="144"/>
        </w:rPr>
        <w:t>İ</w:t>
      </w:r>
      <w:r w:rsidRPr="00BA59DD">
        <w:rPr>
          <w:rFonts w:ascii="Algerian" w:eastAsia="Times New Roman" w:hAnsi="Algerian" w:cs="Calibri"/>
          <w:b/>
          <w:bCs/>
          <w:color w:val="C00000"/>
          <w:kern w:val="36"/>
          <w:sz w:val="144"/>
          <w:szCs w:val="144"/>
        </w:rPr>
        <w:t>T</w:t>
      </w:r>
      <w:r w:rsidRPr="00BA59DD">
        <w:rPr>
          <w:rFonts w:ascii="Algerian" w:eastAsia="Times New Roman" w:hAnsi="Algerian" w:cs="Algerian"/>
          <w:b/>
          <w:bCs/>
          <w:color w:val="C00000"/>
          <w:kern w:val="36"/>
          <w:sz w:val="144"/>
          <w:szCs w:val="144"/>
        </w:rPr>
        <w:t>Ü</w:t>
      </w:r>
      <w:r>
        <w:rPr>
          <w:rFonts w:ascii="Algerian" w:eastAsia="Times New Roman" w:hAnsi="Algerian" w:cs="Calibri"/>
          <w:b/>
          <w:bCs/>
          <w:color w:val="C00000"/>
          <w:kern w:val="36"/>
          <w:sz w:val="144"/>
          <w:szCs w:val="144"/>
        </w:rPr>
        <w:t xml:space="preserve"> </w:t>
      </w:r>
      <w:r w:rsidRPr="00C36B9B">
        <w:rPr>
          <w:rFonts w:ascii="Algerian" w:eastAsia="Times New Roman" w:hAnsi="Algerian" w:cs="Times New Roman"/>
          <w:b/>
          <w:bCs/>
          <w:color w:val="C00000"/>
          <w:kern w:val="36"/>
          <w:sz w:val="144"/>
          <w:szCs w:val="144"/>
        </w:rPr>
        <w:t>250.y</w:t>
      </w:r>
      <w:r w:rsidRPr="00C36B9B">
        <w:rPr>
          <w:rFonts w:ascii="Cambria" w:eastAsia="Times New Roman" w:hAnsi="Cambria" w:cs="Cambria"/>
          <w:b/>
          <w:bCs/>
          <w:color w:val="C00000"/>
          <w:kern w:val="36"/>
          <w:sz w:val="144"/>
          <w:szCs w:val="144"/>
        </w:rPr>
        <w:t>ı</w:t>
      </w:r>
      <w:r w:rsidRPr="00C36B9B">
        <w:rPr>
          <w:rFonts w:ascii="Algerian" w:eastAsia="Times New Roman" w:hAnsi="Algerian" w:cs="Calibri"/>
          <w:b/>
          <w:bCs/>
          <w:color w:val="C00000"/>
          <w:kern w:val="36"/>
          <w:sz w:val="144"/>
          <w:szCs w:val="144"/>
        </w:rPr>
        <w:t xml:space="preserve">l </w:t>
      </w:r>
    </w:p>
    <w:p w14:paraId="00CF760B" w14:textId="135F7393" w:rsidR="00D276AE" w:rsidRPr="00C36B9B" w:rsidRDefault="00263B9D" w:rsidP="00D276AE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</w:pPr>
      <w:r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  <w:t xml:space="preserve">PLAJ </w:t>
      </w:r>
      <w:r w:rsidR="00D276AE"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  <w:t>VOLEYBOL</w:t>
      </w:r>
      <w:r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  <w:t xml:space="preserve">U </w:t>
      </w:r>
      <w:r w:rsidR="00D276AE" w:rsidRPr="00C36B9B"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  <w:t>TURNUVASI</w:t>
      </w:r>
    </w:p>
    <w:p w14:paraId="31F0306E" w14:textId="77777777" w:rsidR="00D276AE" w:rsidRDefault="00D276AE" w:rsidP="00D276AE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Calibri"/>
          <w:b/>
          <w:bCs/>
          <w:kern w:val="36"/>
          <w:sz w:val="72"/>
          <w:szCs w:val="72"/>
        </w:rPr>
      </w:pPr>
      <w:r w:rsidRPr="00C36B9B"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  <w:t>TAL</w:t>
      </w:r>
      <w:r w:rsidRPr="00C36B9B">
        <w:rPr>
          <w:rFonts w:ascii="Cambria" w:eastAsia="Times New Roman" w:hAnsi="Cambria" w:cs="Cambria"/>
          <w:b/>
          <w:bCs/>
          <w:kern w:val="36"/>
          <w:sz w:val="72"/>
          <w:szCs w:val="72"/>
        </w:rPr>
        <w:t>İ</w:t>
      </w:r>
      <w:r w:rsidRPr="00C36B9B">
        <w:rPr>
          <w:rFonts w:ascii="Algerian" w:eastAsia="Times New Roman" w:hAnsi="Algerian" w:cs="Calibri"/>
          <w:b/>
          <w:bCs/>
          <w:kern w:val="36"/>
          <w:sz w:val="72"/>
          <w:szCs w:val="72"/>
        </w:rPr>
        <w:t>MATI</w:t>
      </w:r>
    </w:p>
    <w:p w14:paraId="667EBAC9" w14:textId="07842EEA" w:rsidR="00D276AE" w:rsidRPr="00C36B9B" w:rsidRDefault="00287552" w:rsidP="00D276AE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Calibri"/>
          <w:b/>
          <w:bCs/>
          <w:kern w:val="36"/>
          <w:sz w:val="72"/>
          <w:szCs w:val="72"/>
        </w:rPr>
      </w:pPr>
      <w:r>
        <w:rPr>
          <w:rFonts w:ascii="Algerian" w:eastAsia="Times New Roman" w:hAnsi="Algerian" w:cs="Calibri"/>
          <w:b/>
          <w:bCs/>
          <w:noProof/>
          <w:kern w:val="36"/>
          <w:sz w:val="72"/>
          <w:szCs w:val="72"/>
          <w:lang w:eastAsia="tr-TR"/>
        </w:rPr>
        <w:drawing>
          <wp:inline distT="0" distB="0" distL="0" distR="0" wp14:anchorId="49896DD9" wp14:editId="497AB5DD">
            <wp:extent cx="4314825" cy="2872467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93" cy="288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07FCA" w14:textId="2D042A2B" w:rsidR="00D276AE" w:rsidRDefault="00D276AE" w:rsidP="00FF23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3D26C1F" w14:textId="77777777" w:rsidR="00287552" w:rsidRPr="00FF237A" w:rsidRDefault="00287552" w:rsidP="00FF23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E231C63" w14:textId="77777777" w:rsidR="00D276AE" w:rsidRPr="00DB4DC3" w:rsidRDefault="00D276AE" w:rsidP="00D27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B4DC3">
        <w:rPr>
          <w:rFonts w:ascii="Times New Roman" w:hAnsi="Times New Roman" w:cs="Times New Roman"/>
          <w:b/>
          <w:sz w:val="24"/>
        </w:rPr>
        <w:t>Koordinatör</w:t>
      </w:r>
      <w:r>
        <w:rPr>
          <w:rFonts w:ascii="Times New Roman" w:hAnsi="Times New Roman" w:cs="Times New Roman"/>
          <w:b/>
          <w:sz w:val="24"/>
        </w:rPr>
        <w:t>ler</w:t>
      </w:r>
    </w:p>
    <w:p w14:paraId="7404B7B0" w14:textId="77777777" w:rsidR="00D276AE" w:rsidRPr="00D21595" w:rsidRDefault="00D276AE" w:rsidP="00D276A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21595">
        <w:rPr>
          <w:rFonts w:ascii="Times New Roman" w:hAnsi="Times New Roman" w:cs="Times New Roman"/>
          <w:sz w:val="24"/>
        </w:rPr>
        <w:t>Öğr. Gör. Serra Ayşe ÇAKAR SAKA</w:t>
      </w:r>
    </w:p>
    <w:p w14:paraId="7407C957" w14:textId="77777777" w:rsidR="00D276AE" w:rsidRDefault="00B5788C" w:rsidP="00D276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276AE" w:rsidRPr="00E7546A">
          <w:rPr>
            <w:rStyle w:val="Kpr"/>
            <w:rFonts w:ascii="Times New Roman" w:hAnsi="Times New Roman" w:cs="Times New Roman"/>
            <w:sz w:val="20"/>
            <w:szCs w:val="20"/>
          </w:rPr>
          <w:t>scakar@itu.edu.tr</w:t>
        </w:r>
      </w:hyperlink>
    </w:p>
    <w:p w14:paraId="69C41480" w14:textId="77777777" w:rsidR="00D276AE" w:rsidRDefault="00D276AE" w:rsidP="00D276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253631F" w14:textId="77777777" w:rsidR="00D276AE" w:rsidRPr="002A6119" w:rsidRDefault="00D276AE" w:rsidP="00D27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5734474"/>
      <w:r w:rsidRPr="002A6119">
        <w:rPr>
          <w:rFonts w:ascii="Times New Roman" w:hAnsi="Times New Roman" w:cs="Times New Roman"/>
          <w:sz w:val="24"/>
          <w:szCs w:val="24"/>
        </w:rPr>
        <w:t>Ramazan Çevik</w:t>
      </w:r>
    </w:p>
    <w:p w14:paraId="740E4FF6" w14:textId="4F266E53" w:rsidR="00D276AE" w:rsidRPr="00DB4DC3" w:rsidRDefault="00D276AE" w:rsidP="00D276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cevi</w:t>
      </w:r>
      <w:r w:rsidR="001200D1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ra@itu.edu.tr</w:t>
      </w:r>
    </w:p>
    <w:bookmarkEnd w:id="0"/>
    <w:p w14:paraId="4DB82595" w14:textId="77777777" w:rsidR="00D276AE" w:rsidRDefault="00D276AE" w:rsidP="00D276AE">
      <w:pPr>
        <w:spacing w:before="100" w:beforeAutospacing="1" w:after="100" w:afterAutospacing="1" w:line="240" w:lineRule="auto"/>
        <w:ind w:hanging="11"/>
        <w:jc w:val="center"/>
        <w:rPr>
          <w:rFonts w:ascii="Times New Roman" w:hAnsi="Times New Roman" w:cs="Times New Roman"/>
          <w:b/>
          <w:u w:val="single"/>
        </w:rPr>
      </w:pPr>
    </w:p>
    <w:p w14:paraId="2007DFC7" w14:textId="2787784B" w:rsidR="00480843" w:rsidRPr="00C07AAA" w:rsidRDefault="005201C0" w:rsidP="00480843">
      <w:pPr>
        <w:spacing w:before="100" w:beforeAutospacing="1" w:after="100" w:afterAutospacing="1" w:line="240" w:lineRule="auto"/>
        <w:ind w:hanging="11"/>
        <w:jc w:val="center"/>
        <w:rPr>
          <w:rFonts w:ascii="Times New Roman" w:hAnsi="Times New Roman" w:cs="Times New Roman"/>
          <w:b/>
          <w:u w:val="single"/>
        </w:rPr>
      </w:pPr>
      <w:bookmarkStart w:id="1" w:name="_Hlk95379562"/>
      <w:r>
        <w:rPr>
          <w:rFonts w:ascii="Times New Roman" w:hAnsi="Times New Roman" w:cs="Times New Roman"/>
          <w:b/>
          <w:u w:val="single"/>
        </w:rPr>
        <w:lastRenderedPageBreak/>
        <w:t xml:space="preserve">ÖĞRENCİ </w:t>
      </w:r>
      <w:r w:rsidR="00480843">
        <w:rPr>
          <w:rFonts w:ascii="Times New Roman" w:hAnsi="Times New Roman" w:cs="Times New Roman"/>
          <w:b/>
          <w:u w:val="single"/>
        </w:rPr>
        <w:t xml:space="preserve"> </w:t>
      </w:r>
      <w:r w:rsidR="00480843" w:rsidRPr="001D3B89">
        <w:rPr>
          <w:rFonts w:ascii="Times New Roman" w:hAnsi="Times New Roman" w:cs="Times New Roman"/>
          <w:b/>
          <w:u w:val="single"/>
        </w:rPr>
        <w:t>TURNUVA</w:t>
      </w:r>
      <w:r w:rsidR="00480843">
        <w:rPr>
          <w:rFonts w:ascii="Times New Roman" w:hAnsi="Times New Roman" w:cs="Times New Roman"/>
          <w:b/>
          <w:u w:val="single"/>
        </w:rPr>
        <w:t>SI</w:t>
      </w:r>
      <w:r w:rsidR="00480843" w:rsidRPr="001D3B89">
        <w:rPr>
          <w:rFonts w:ascii="Times New Roman" w:hAnsi="Times New Roman" w:cs="Times New Roman"/>
          <w:b/>
          <w:u w:val="single"/>
        </w:rPr>
        <w:t xml:space="preserve"> GENEL PROGRAMI</w:t>
      </w:r>
    </w:p>
    <w:p w14:paraId="69209A3A" w14:textId="77777777" w:rsidR="00480843" w:rsidRPr="0005627C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7C">
        <w:rPr>
          <w:rFonts w:ascii="Times New Roman" w:hAnsi="Times New Roman" w:cs="Times New Roman"/>
          <w:sz w:val="24"/>
          <w:szCs w:val="24"/>
        </w:rPr>
        <w:t>Başvuru Tarihi</w:t>
      </w:r>
      <w:r w:rsidRPr="0005627C">
        <w:rPr>
          <w:rFonts w:ascii="Times New Roman" w:hAnsi="Times New Roman" w:cs="Times New Roman"/>
          <w:sz w:val="24"/>
          <w:szCs w:val="24"/>
        </w:rPr>
        <w:tab/>
      </w:r>
      <w:r w:rsidRPr="000562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 Nisan- 09 Mayıs</w:t>
      </w:r>
      <w:r w:rsidRPr="0005627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2C9811C" w14:textId="77777777" w:rsidR="00480843" w:rsidRPr="00C07AAA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>Kura Çekimi</w:t>
      </w:r>
      <w:r w:rsidRPr="00C07AAA">
        <w:rPr>
          <w:rFonts w:ascii="Times New Roman" w:hAnsi="Times New Roman" w:cs="Times New Roman"/>
          <w:sz w:val="24"/>
          <w:szCs w:val="24"/>
        </w:rPr>
        <w:tab/>
      </w:r>
      <w:r w:rsidRPr="00C07AAA">
        <w:rPr>
          <w:rFonts w:ascii="Times New Roman" w:hAnsi="Times New Roman" w:cs="Times New Roman"/>
          <w:sz w:val="24"/>
          <w:szCs w:val="24"/>
        </w:rPr>
        <w:tab/>
      </w:r>
      <w:r w:rsidRPr="00C07AAA">
        <w:rPr>
          <w:rFonts w:ascii="Times New Roman" w:hAnsi="Times New Roman" w:cs="Times New Roman"/>
          <w:sz w:val="24"/>
          <w:szCs w:val="24"/>
        </w:rPr>
        <w:tab/>
        <w:t>09 Mayıs 2022</w:t>
      </w:r>
      <w:r>
        <w:rPr>
          <w:rFonts w:ascii="Times New Roman" w:hAnsi="Times New Roman" w:cs="Times New Roman"/>
          <w:sz w:val="24"/>
          <w:szCs w:val="24"/>
        </w:rPr>
        <w:tab/>
        <w:t>Saat:12.00</w:t>
      </w:r>
    </w:p>
    <w:p w14:paraId="276AC113" w14:textId="77777777" w:rsidR="00480843" w:rsidRPr="0007186C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6C">
        <w:rPr>
          <w:rFonts w:ascii="Times New Roman" w:hAnsi="Times New Roman" w:cs="Times New Roman"/>
          <w:sz w:val="24"/>
          <w:szCs w:val="24"/>
        </w:rPr>
        <w:t>Turnuva Tarihi</w:t>
      </w:r>
      <w:r w:rsidRPr="0007186C">
        <w:rPr>
          <w:rFonts w:ascii="Times New Roman" w:hAnsi="Times New Roman" w:cs="Times New Roman"/>
          <w:sz w:val="24"/>
          <w:szCs w:val="24"/>
        </w:rPr>
        <w:tab/>
      </w:r>
      <w:r w:rsidRPr="000718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11-16</w:t>
      </w:r>
      <w:r w:rsidRPr="0007186C">
        <w:rPr>
          <w:rFonts w:ascii="Times New Roman" w:hAnsi="Times New Roman" w:cs="Times New Roman"/>
          <w:sz w:val="24"/>
          <w:szCs w:val="24"/>
        </w:rPr>
        <w:t xml:space="preserve"> Mayıs 2022</w:t>
      </w:r>
    </w:p>
    <w:p w14:paraId="457DCEB1" w14:textId="213CD8A6" w:rsidR="00480843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7C">
        <w:rPr>
          <w:rFonts w:ascii="Times New Roman" w:hAnsi="Times New Roman" w:cs="Times New Roman"/>
          <w:sz w:val="24"/>
          <w:szCs w:val="24"/>
        </w:rPr>
        <w:t>Yer</w:t>
      </w:r>
      <w:r w:rsidRPr="0005627C">
        <w:rPr>
          <w:rFonts w:ascii="Times New Roman" w:hAnsi="Times New Roman" w:cs="Times New Roman"/>
          <w:sz w:val="24"/>
          <w:szCs w:val="24"/>
        </w:rPr>
        <w:tab/>
      </w:r>
      <w:r w:rsidRPr="0005627C">
        <w:rPr>
          <w:rFonts w:ascii="Times New Roman" w:hAnsi="Times New Roman" w:cs="Times New Roman"/>
          <w:sz w:val="24"/>
          <w:szCs w:val="24"/>
        </w:rPr>
        <w:tab/>
      </w:r>
      <w:r w:rsidRPr="0005627C">
        <w:rPr>
          <w:rFonts w:ascii="Times New Roman" w:hAnsi="Times New Roman" w:cs="Times New Roman"/>
          <w:sz w:val="24"/>
          <w:szCs w:val="24"/>
        </w:rPr>
        <w:tab/>
      </w:r>
      <w:r w:rsidRPr="0005627C">
        <w:rPr>
          <w:rFonts w:ascii="Times New Roman" w:hAnsi="Times New Roman" w:cs="Times New Roman"/>
          <w:sz w:val="24"/>
          <w:szCs w:val="24"/>
        </w:rPr>
        <w:tab/>
        <w:t xml:space="preserve">İTÜ Ayazağa Kampüsü/ </w:t>
      </w:r>
      <w:r>
        <w:rPr>
          <w:rFonts w:ascii="Times New Roman" w:hAnsi="Times New Roman" w:cs="Times New Roman"/>
          <w:sz w:val="24"/>
          <w:szCs w:val="24"/>
        </w:rPr>
        <w:t>Plaj Voleybolu Sahası</w:t>
      </w:r>
    </w:p>
    <w:p w14:paraId="066F3F82" w14:textId="77777777" w:rsidR="00480843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42495" w14:textId="77777777" w:rsidR="00480843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C5778" w14:textId="77777777" w:rsidR="00480843" w:rsidRPr="00AE32C1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493CD" w14:textId="77777777" w:rsidR="00480843" w:rsidRPr="00B34337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b/>
          <w:sz w:val="24"/>
          <w:szCs w:val="24"/>
        </w:rPr>
        <w:t>Katılım Koşulları</w:t>
      </w:r>
    </w:p>
    <w:p w14:paraId="12F6E708" w14:textId="0A330938" w:rsidR="00480843" w:rsidRPr="00B34337" w:rsidRDefault="00480843" w:rsidP="0048084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Turnuvaya </w:t>
      </w:r>
      <w:r w:rsidR="005201C0">
        <w:rPr>
          <w:rFonts w:ascii="Times New Roman" w:eastAsia="Times New Roman" w:hAnsi="Times New Roman" w:cs="Times New Roman"/>
          <w:sz w:val="24"/>
          <w:szCs w:val="24"/>
          <w:lang w:eastAsia="tr-TR"/>
        </w:rPr>
        <w:t>İTÜ öğrencileri (Lisans</w:t>
      </w:r>
      <w:r w:rsidRPr="00B34337">
        <w:rPr>
          <w:rFonts w:ascii="Times New Roman" w:eastAsia="Times New Roman" w:hAnsi="Times New Roman" w:cs="Times New Roman"/>
          <w:sz w:val="24"/>
          <w:szCs w:val="24"/>
          <w:lang w:eastAsia="tr-TR"/>
        </w:rPr>
        <w:t>) katılabilir.</w:t>
      </w:r>
      <w:r w:rsidR="00FD17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Fakülteler arası yarışma formatı kullanılacaktır..</w:t>
      </w:r>
    </w:p>
    <w:p w14:paraId="2509E34B" w14:textId="77777777" w:rsidR="00480843" w:rsidRPr="00B34337" w:rsidRDefault="00480843" w:rsidP="0048084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6F5E" w14:textId="77777777" w:rsidR="00480843" w:rsidRPr="00B34337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b/>
          <w:sz w:val="24"/>
          <w:szCs w:val="24"/>
        </w:rPr>
        <w:t>Gerekli Belgeler</w:t>
      </w:r>
    </w:p>
    <w:p w14:paraId="3FFA28B0" w14:textId="77777777" w:rsidR="00480843" w:rsidRPr="00B34337" w:rsidRDefault="00480843" w:rsidP="00480843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Öğrenciler kimlik belgesi ile birlikte, İTÜ öğrenci kimlik kartını ibraz etmek zorundadır.</w:t>
      </w:r>
    </w:p>
    <w:p w14:paraId="0DFFBEE6" w14:textId="77777777" w:rsidR="00480843" w:rsidRPr="00B34337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B3B86" w14:textId="77777777" w:rsidR="00480843" w:rsidRPr="00B34337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337">
        <w:rPr>
          <w:rFonts w:ascii="Times New Roman" w:hAnsi="Times New Roman" w:cs="Times New Roman"/>
          <w:b/>
          <w:bCs/>
          <w:sz w:val="24"/>
          <w:szCs w:val="24"/>
        </w:rPr>
        <w:t>Kura Çekimi</w:t>
      </w:r>
    </w:p>
    <w:p w14:paraId="0C373F7A" w14:textId="77777777" w:rsidR="00480843" w:rsidRDefault="00480843" w:rsidP="004808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37">
        <w:rPr>
          <w:rFonts w:ascii="Times New Roman" w:hAnsi="Times New Roman" w:cs="Times New Roman"/>
          <w:bCs/>
          <w:sz w:val="24"/>
          <w:szCs w:val="24"/>
        </w:rPr>
        <w:t>Müsabakaların kura çekimi ve eşleştirmelerle ilgili teknik toplantı müsabaka tertip kurulunca düzenlenir.</w:t>
      </w:r>
    </w:p>
    <w:p w14:paraId="3E8ADCD9" w14:textId="77777777" w:rsidR="00480843" w:rsidRPr="00C07AAA" w:rsidRDefault="00480843" w:rsidP="004808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>Teknik toplantı merkezi spor salonunda 12.00 da yapılacaktır. Takımı temsilen en az bir kişinin katılması gerekmektedir.</w:t>
      </w:r>
    </w:p>
    <w:p w14:paraId="70474D24" w14:textId="77777777" w:rsidR="00480843" w:rsidRPr="00B34337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6755E3" w14:textId="77777777" w:rsidR="00480843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b/>
          <w:sz w:val="24"/>
          <w:szCs w:val="24"/>
        </w:rPr>
        <w:t>Oyun Kuralları</w:t>
      </w:r>
    </w:p>
    <w:bookmarkEnd w:id="1"/>
    <w:p w14:paraId="6956D063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AA">
        <w:rPr>
          <w:rFonts w:ascii="Times New Roman" w:hAnsi="Times New Roman" w:cs="Times New Roman"/>
          <w:sz w:val="24"/>
        </w:rPr>
        <w:t>T</w:t>
      </w:r>
      <w:r w:rsidRPr="00C07AAA">
        <w:rPr>
          <w:rFonts w:ascii="Times New Roman" w:hAnsi="Times New Roman" w:cs="Times New Roman"/>
          <w:sz w:val="24"/>
          <w:szCs w:val="24"/>
        </w:rPr>
        <w:t>urnuvada FIVB açıkladığı plaj voleybolu kuralları geçerlidir.</w:t>
      </w:r>
    </w:p>
    <w:p w14:paraId="42854799" w14:textId="12AA830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>Her takım en fazla</w:t>
      </w:r>
      <w:r w:rsidR="00FD1773">
        <w:rPr>
          <w:rFonts w:ascii="Times New Roman" w:hAnsi="Times New Roman" w:cs="Times New Roman"/>
          <w:sz w:val="24"/>
          <w:szCs w:val="24"/>
        </w:rPr>
        <w:t xml:space="preserve"> oyun esnasında 2 Kadın ve 2 Erkek Toplam</w:t>
      </w:r>
      <w:r w:rsidRPr="00C0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AAA">
        <w:rPr>
          <w:rFonts w:ascii="Times New Roman" w:hAnsi="Times New Roman" w:cs="Times New Roman"/>
          <w:sz w:val="24"/>
          <w:szCs w:val="24"/>
        </w:rPr>
        <w:t xml:space="preserve"> oyuncudan oluşur. </w:t>
      </w:r>
    </w:p>
    <w:p w14:paraId="5DDBC03E" w14:textId="29D9BB78" w:rsidR="00480843" w:rsidRPr="005201C0" w:rsidRDefault="00480843" w:rsidP="005201C0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 xml:space="preserve">Takım oyuncuları kadın-erkek olabilir. </w:t>
      </w:r>
    </w:p>
    <w:p w14:paraId="526AFFB6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723">
        <w:rPr>
          <w:rFonts w:ascii="Times New Roman" w:hAnsi="Times New Roman" w:cs="Times New Roman"/>
          <w:sz w:val="24"/>
          <w:szCs w:val="24"/>
        </w:rPr>
        <w:t>Bir set (netice seti 3. set hariç) en az iki sayı farkla 21 sayıya ilk ulaşan takım tarafından kazanılır. 20-20 eşitlik olması halinde oyun, iki sayılık</w:t>
      </w:r>
      <w:r w:rsidRPr="00C07AAA">
        <w:rPr>
          <w:rFonts w:ascii="Times New Roman" w:hAnsi="Times New Roman" w:cs="Times New Roman"/>
          <w:sz w:val="24"/>
          <w:szCs w:val="24"/>
        </w:rPr>
        <w:t xml:space="preserve"> farka ulaşılana kadar devam eder (22-20, 23-21 vb.).</w:t>
      </w:r>
    </w:p>
    <w:p w14:paraId="6DE0C640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 xml:space="preserve">Setlerde 2 set alan galip gelir. Setlerin 1-1 olması halinde uzatma netice seti oynanır. 3.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7AAA">
        <w:rPr>
          <w:rFonts w:ascii="Times New Roman" w:hAnsi="Times New Roman" w:cs="Times New Roman"/>
          <w:sz w:val="24"/>
          <w:szCs w:val="24"/>
        </w:rPr>
        <w:t>et en az iki sayı fark şartıyla 15 sayı üzerinden oynanır.</w:t>
      </w:r>
    </w:p>
    <w:p w14:paraId="63227CFC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 xml:space="preserve">Oyuncular aynı renk ve stilde müsabaka kıyafeti giymelidirler. Göğüs ve sırtta </w:t>
      </w:r>
      <w:r w:rsidRPr="00330723">
        <w:rPr>
          <w:rFonts w:ascii="Times New Roman" w:hAnsi="Times New Roman" w:cs="Times New Roman"/>
          <w:sz w:val="24"/>
          <w:szCs w:val="24"/>
        </w:rPr>
        <w:t>ise 1 ve 2 numaraları bulunmalıdır. 3. Oyuncunun numarası bulunmaz oyuna gireceği zaman 1</w:t>
      </w:r>
      <w:r w:rsidRPr="00C07AAA">
        <w:rPr>
          <w:rFonts w:ascii="Times New Roman" w:hAnsi="Times New Roman" w:cs="Times New Roman"/>
          <w:sz w:val="24"/>
          <w:szCs w:val="24"/>
        </w:rPr>
        <w:t xml:space="preserve"> veya 2 numaradan biri olur. </w:t>
      </w:r>
    </w:p>
    <w:p w14:paraId="3D21B394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>Müsabaka başlamadan önce takım kaptanı hakemlere kayıt yaptırır ve takımı yönetir.</w:t>
      </w:r>
    </w:p>
    <w:p w14:paraId="50F2FB0C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>FIVB Dünya ve Resmi Müsabakalarında, maç esnasında dışarıdan katılıma ve koçluk yapılmasına izin verilmez bu yüzden takımları temsilen antrenör bulunamaz.</w:t>
      </w:r>
    </w:p>
    <w:p w14:paraId="1495E3BD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 xml:space="preserve">Takımlar, </w:t>
      </w:r>
      <w:bookmarkStart w:id="2" w:name="_GoBack"/>
      <w:bookmarkEnd w:id="2"/>
      <w:r w:rsidRPr="00C07AAA">
        <w:rPr>
          <w:rFonts w:ascii="Times New Roman" w:hAnsi="Times New Roman" w:cs="Times New Roman"/>
          <w:sz w:val="24"/>
          <w:szCs w:val="24"/>
        </w:rPr>
        <w:t xml:space="preserve">1 ve 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7AAA">
        <w:rPr>
          <w:rFonts w:ascii="Times New Roman" w:hAnsi="Times New Roman" w:cs="Times New Roman"/>
          <w:sz w:val="24"/>
          <w:szCs w:val="24"/>
        </w:rPr>
        <w:t>etlerde oynanan her 7 sayıda bir ve 3. sette oynanan her 5 sayıda bir güneş ve rüzgâr avantajı/dezavantajı yaşamamak adına saha değişirler.</w:t>
      </w:r>
    </w:p>
    <w:p w14:paraId="554E7E1C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>Saha değişimleri esnasında takımlar herhangi bir gecikme olmadan derhal değişmelidirler. Aralarında mola yapılamaz.</w:t>
      </w:r>
    </w:p>
    <w:p w14:paraId="3F48D7B5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>Sahanın yüzeyi düzeltilmiş kumdan oluşmalı, mümkün olduğunca düz ve yeknesak olmalı, taşlar, deniz kabukları ve oyuncuların yaralanmasına neden olabilecek her türlü maddeden arındırılmış olmalıdır.</w:t>
      </w:r>
    </w:p>
    <w:p w14:paraId="688804EE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>Oyuncuların sakatlanmasına sebep olabilecek veya onlara suni bir avantaj sağlayacak objelerin giyilmesi ve kullanılması yasaktır.</w:t>
      </w:r>
    </w:p>
    <w:p w14:paraId="453217EB" w14:textId="77777777" w:rsidR="00480843" w:rsidRPr="00C07AAA" w:rsidRDefault="00480843" w:rsidP="0048084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lastRenderedPageBreak/>
        <w:t>Oyuna katılanlar dürüst sporculuk anlayışı içerisinde sadece hakemlere karşı değil, aynı zamanda diğer görevlilere, rakiplerine, takım arkadaşlarına ve seyircilere karşı da nazik ve saygılı davranmalıdırlar.</w:t>
      </w:r>
    </w:p>
    <w:p w14:paraId="1390CA5E" w14:textId="77777777" w:rsidR="00B5788C" w:rsidRDefault="00480843" w:rsidP="00B5788C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 xml:space="preserve">Müsabaka zamanı katılım göstermeyen takım hükmen yenik sayılır. </w:t>
      </w:r>
    </w:p>
    <w:p w14:paraId="5C8B4D15" w14:textId="396D34AD" w:rsidR="00B5788C" w:rsidRPr="00B5788C" w:rsidRDefault="00B5788C" w:rsidP="00B5788C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88C">
        <w:rPr>
          <w:rFonts w:ascii="Times New Roman" w:hAnsi="Times New Roman" w:cs="Times New Roman"/>
          <w:sz w:val="24"/>
          <w:szCs w:val="24"/>
        </w:rPr>
        <w:t>Turnuvada  fakültesi</w:t>
      </w:r>
      <w:r>
        <w:rPr>
          <w:rFonts w:ascii="Times New Roman" w:hAnsi="Times New Roman" w:cs="Times New Roman"/>
          <w:sz w:val="24"/>
          <w:szCs w:val="24"/>
        </w:rPr>
        <w:t xml:space="preserve"> yarışmayan öğrenciler bir fakülte takımında misafir olarak yer alabilir. ( Misafir oyuncu 1 kişi ile sınırlıdır.)</w:t>
      </w:r>
    </w:p>
    <w:p w14:paraId="18E6E832" w14:textId="77777777" w:rsidR="00480843" w:rsidRDefault="00480843" w:rsidP="0048084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6672AB" w14:textId="77777777" w:rsidR="00480843" w:rsidRPr="00AE32C1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2C1">
        <w:rPr>
          <w:rFonts w:ascii="Times New Roman" w:hAnsi="Times New Roman" w:cs="Times New Roman"/>
          <w:b/>
          <w:sz w:val="24"/>
          <w:szCs w:val="24"/>
        </w:rPr>
        <w:t>Disiplin Şartları ve İtirazlar</w:t>
      </w:r>
    </w:p>
    <w:p w14:paraId="0E4A0648" w14:textId="77777777" w:rsidR="00480843" w:rsidRPr="00C07AAA" w:rsidRDefault="00480843" w:rsidP="0048084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AA">
        <w:rPr>
          <w:rFonts w:ascii="Times New Roman" w:hAnsi="Times New Roman" w:cs="Times New Roman"/>
          <w:sz w:val="24"/>
          <w:szCs w:val="24"/>
        </w:rPr>
        <w:t xml:space="preserve">Takımlar katılımcı olabilmek için en geç teknik toplantı zamanında takım bilgilerini tarafımıza iletmelidirler. Teknik toplantıya katılmayan takımlar müsabakalarında yer alamazlar. </w:t>
      </w:r>
    </w:p>
    <w:p w14:paraId="48DFAAE2" w14:textId="77777777" w:rsidR="00480843" w:rsidRPr="00203E6C" w:rsidRDefault="00480843" w:rsidP="0048084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6C">
        <w:rPr>
          <w:rFonts w:ascii="Times New Roman" w:hAnsi="Times New Roman" w:cs="Times New Roman"/>
          <w:sz w:val="24"/>
          <w:szCs w:val="24"/>
        </w:rPr>
        <w:t>Oyun kurallarına, spor ahlakına ve disiplin kurallarına aykırı fiil ve davranışlarda bulunulması halinde Disiplin Talimatı hükümleri uygulanır.</w:t>
      </w:r>
    </w:p>
    <w:p w14:paraId="47AB78D1" w14:textId="77777777" w:rsidR="00480843" w:rsidRPr="00203E6C" w:rsidRDefault="00480843" w:rsidP="0048084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6C">
        <w:rPr>
          <w:rFonts w:ascii="Times New Roman" w:hAnsi="Times New Roman" w:cs="Times New Roman"/>
          <w:sz w:val="24"/>
          <w:szCs w:val="24"/>
        </w:rPr>
        <w:t>Müsabakalar ile ilgili her türlü itiraz, Yarışma Talimatına uygun olarak Tertip Komitesine yapılır.</w:t>
      </w:r>
      <w:r w:rsidRPr="00203E6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846C62A" w14:textId="77777777" w:rsidR="00480843" w:rsidRPr="00AE32C1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D03BC" w14:textId="77777777" w:rsidR="00480843" w:rsidRPr="00AE32C1" w:rsidRDefault="00480843" w:rsidP="00480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2C1">
        <w:rPr>
          <w:rFonts w:ascii="Times New Roman" w:hAnsi="Times New Roman" w:cs="Times New Roman"/>
          <w:b/>
          <w:sz w:val="24"/>
          <w:szCs w:val="24"/>
        </w:rPr>
        <w:t>Ödüller</w:t>
      </w:r>
    </w:p>
    <w:p w14:paraId="4FF53244" w14:textId="77777777" w:rsidR="00480843" w:rsidRPr="00330723" w:rsidRDefault="00480843" w:rsidP="004808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23">
        <w:rPr>
          <w:rFonts w:ascii="Times New Roman" w:hAnsi="Times New Roman" w:cs="Times New Roman"/>
          <w:sz w:val="24"/>
          <w:szCs w:val="24"/>
        </w:rPr>
        <w:t>Müsabakalar sonunda kategorilerinde birinci, ikinci ve üçüncü olan sporculara kupa ve madalya verilir. Ayrıca Tertip Komitesi’nin kararıyla bir takıma “Fair Play Kupası” verilir.</w:t>
      </w:r>
    </w:p>
    <w:p w14:paraId="0C9634FF" w14:textId="77777777" w:rsidR="00480843" w:rsidRDefault="00480843" w:rsidP="004808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6C">
        <w:rPr>
          <w:rFonts w:ascii="Times New Roman" w:hAnsi="Times New Roman" w:cs="Times New Roman"/>
          <w:sz w:val="24"/>
          <w:szCs w:val="24"/>
        </w:rPr>
        <w:t xml:space="preserve">Ödül kazanan sporcular, Tertip Komitesinin belirleyeceği organizasyon kurallarına uymak ve kupa törenine katılmak zorundadırlar.  </w:t>
      </w:r>
    </w:p>
    <w:p w14:paraId="797BC964" w14:textId="77777777" w:rsidR="00480843" w:rsidRPr="00E85C72" w:rsidRDefault="00480843" w:rsidP="004808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EC">
        <w:rPr>
          <w:rFonts w:ascii="Times New Roman" w:hAnsi="Times New Roman" w:cs="Times New Roman"/>
          <w:sz w:val="24"/>
          <w:szCs w:val="24"/>
        </w:rPr>
        <w:t xml:space="preserve">Sporcuların müsabakalarda kullanılacağı toplar ve turnuva bitiminde verilecek ödüller Beden Eğitimi Bölüm Başkanlığı ve Sağlık Kültür Spor Daire Başkanlığına bağlı Spor Hizmetleri Şube Müdürlüğü tarafından temin edilecektir. </w:t>
      </w:r>
    </w:p>
    <w:p w14:paraId="2B9D0CAC" w14:textId="5C7786F8" w:rsidR="00BC3A6E" w:rsidRDefault="00BC3A6E" w:rsidP="00D276AE"/>
    <w:sectPr w:rsidR="00BC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F25"/>
    <w:multiLevelType w:val="hybridMultilevel"/>
    <w:tmpl w:val="474C8F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20A"/>
    <w:multiLevelType w:val="hybridMultilevel"/>
    <w:tmpl w:val="5838B0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CE0B96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82B"/>
    <w:multiLevelType w:val="hybridMultilevel"/>
    <w:tmpl w:val="5AF27D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688C"/>
    <w:multiLevelType w:val="hybridMultilevel"/>
    <w:tmpl w:val="309ACA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28C9"/>
    <w:multiLevelType w:val="hybridMultilevel"/>
    <w:tmpl w:val="CCD20F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37B3"/>
    <w:multiLevelType w:val="hybridMultilevel"/>
    <w:tmpl w:val="62747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D1FCE"/>
    <w:multiLevelType w:val="hybridMultilevel"/>
    <w:tmpl w:val="0E4AB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34"/>
    <w:rsid w:val="001200D1"/>
    <w:rsid w:val="001E2312"/>
    <w:rsid w:val="00263B9D"/>
    <w:rsid w:val="00287552"/>
    <w:rsid w:val="00480843"/>
    <w:rsid w:val="004F7B7B"/>
    <w:rsid w:val="005201C0"/>
    <w:rsid w:val="00B5788C"/>
    <w:rsid w:val="00BC3A6E"/>
    <w:rsid w:val="00CC0293"/>
    <w:rsid w:val="00D276AE"/>
    <w:rsid w:val="00FB5434"/>
    <w:rsid w:val="00FD1773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FB43"/>
  <w15:chartTrackingRefBased/>
  <w15:docId w15:val="{A7333946-38AD-4BD6-A03F-8388AEBE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AE"/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6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7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akar@it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Ramazan CEVIK</cp:lastModifiedBy>
  <cp:revision>2</cp:revision>
  <dcterms:created xsi:type="dcterms:W3CDTF">2022-04-26T12:14:00Z</dcterms:created>
  <dcterms:modified xsi:type="dcterms:W3CDTF">2022-04-26T12:14:00Z</dcterms:modified>
</cp:coreProperties>
</file>